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87" w:rsidRPr="00D80765" w:rsidRDefault="00EA5887" w:rsidP="00EA5887">
      <w:pPr>
        <w:widowControl w:val="0"/>
        <w:jc w:val="center"/>
        <w:rPr>
          <w:rFonts w:eastAsia="Times New Roman" w:cs="Times New Roman"/>
          <w:b/>
          <w:color w:val="000000"/>
          <w:kern w:val="28"/>
          <w:sz w:val="36"/>
          <w:szCs w:val="36"/>
          <w:lang w:eastAsia="fr-FR"/>
        </w:rPr>
      </w:pPr>
      <w:r>
        <w:rPr>
          <w:rFonts w:eastAsia="Times New Roman" w:cs="Times New Roman"/>
          <w:b/>
          <w:color w:val="000000"/>
          <w:kern w:val="28"/>
          <w:sz w:val="36"/>
          <w:szCs w:val="36"/>
          <w:lang w:eastAsia="fr-FR"/>
        </w:rPr>
        <w:t>L’accord du participe passé</w:t>
      </w:r>
      <w:r w:rsidR="000576AA">
        <w:rPr>
          <w:rFonts w:eastAsia="Times New Roman" w:cs="Times New Roman"/>
          <w:b/>
          <w:color w:val="000000"/>
          <w:kern w:val="28"/>
          <w:sz w:val="36"/>
          <w:szCs w:val="36"/>
          <w:lang w:eastAsia="fr-FR"/>
        </w:rPr>
        <w:t xml:space="preserve"> avec l’auxiliaire être</w:t>
      </w:r>
    </w:p>
    <w:p w:rsidR="00EA5887" w:rsidRDefault="00EA5887" w:rsidP="00EA5887">
      <w:pPr>
        <w:rPr>
          <w:b/>
          <w:smallCaps/>
        </w:rPr>
      </w:pPr>
    </w:p>
    <w:p w:rsidR="008853AA" w:rsidRDefault="008853AA" w:rsidP="00EA5887">
      <w:pPr>
        <w:rPr>
          <w:b/>
          <w:smallCaps/>
        </w:rPr>
      </w:pPr>
    </w:p>
    <w:p w:rsidR="00EA5887" w:rsidRPr="00EA5887" w:rsidRDefault="00EA5887" w:rsidP="00EA5887">
      <w:pPr>
        <w:rPr>
          <w:b/>
        </w:rPr>
      </w:pPr>
      <w:r w:rsidRPr="00EA5887">
        <w:rPr>
          <w:b/>
        </w:rPr>
        <w:t>1/ Observer l’accord du PP avec l’auxiliaire être dans les tableaux de conjugaison.</w:t>
      </w:r>
    </w:p>
    <w:p w:rsidR="00EA5887" w:rsidRDefault="00EA5887" w:rsidP="00EA5887"/>
    <w:p w:rsidR="00EA5887" w:rsidRPr="00D80765" w:rsidRDefault="00EA5887" w:rsidP="00EA5887">
      <w:pPr>
        <w:rPr>
          <w:u w:val="single"/>
        </w:rPr>
      </w:pPr>
      <w:r w:rsidRPr="00D80765">
        <w:rPr>
          <w:u w:val="single"/>
        </w:rPr>
        <w:t xml:space="preserve">Objectif de l’exercice : </w:t>
      </w:r>
    </w:p>
    <w:p w:rsidR="00EA5887" w:rsidRDefault="00EA5887" w:rsidP="00EA5887">
      <w:pPr>
        <w:ind w:left="567"/>
      </w:pPr>
      <w:r>
        <w:t>Mettre en évidence l’effet des auxiliaires avoir et être sur les participes passés qui les suivent.</w:t>
      </w:r>
    </w:p>
    <w:p w:rsidR="00EA5887" w:rsidRDefault="00EA5887" w:rsidP="00EA5887"/>
    <w:p w:rsidR="00EA5887" w:rsidRPr="00EA5887" w:rsidRDefault="00EA5887" w:rsidP="00EA5887">
      <w:pPr>
        <w:rPr>
          <w:u w:val="single"/>
        </w:rPr>
      </w:pPr>
      <w:r w:rsidRPr="00EA5887">
        <w:rPr>
          <w:u w:val="single"/>
        </w:rPr>
        <w:t>Matériel :</w:t>
      </w:r>
    </w:p>
    <w:p w:rsidR="00EA5887" w:rsidRDefault="00EA5887" w:rsidP="00EA5887">
      <w:pPr>
        <w:ind w:left="567"/>
      </w:pPr>
      <w:r>
        <w:t>Les tableaux de conjugaison</w:t>
      </w:r>
    </w:p>
    <w:p w:rsidR="00EA5887" w:rsidRDefault="00EA5887" w:rsidP="00EA5887">
      <w:pPr>
        <w:ind w:left="567"/>
      </w:pPr>
    </w:p>
    <w:p w:rsidR="00EA5887" w:rsidRPr="00EA5887" w:rsidRDefault="00EA5887" w:rsidP="00EA5887">
      <w:pPr>
        <w:rPr>
          <w:u w:val="single"/>
        </w:rPr>
      </w:pPr>
      <w:r w:rsidRPr="00EA5887">
        <w:rPr>
          <w:u w:val="single"/>
        </w:rPr>
        <w:t>Consigne :</w:t>
      </w:r>
    </w:p>
    <w:p w:rsidR="00EA5887" w:rsidRPr="00EA5887" w:rsidRDefault="00EA5887" w:rsidP="00EA5887">
      <w:pPr>
        <w:ind w:left="567"/>
        <w:rPr>
          <w:i/>
        </w:rPr>
      </w:pPr>
      <w:r w:rsidRPr="00EA5887">
        <w:rPr>
          <w:i/>
        </w:rPr>
        <w:t>Quelles remarques pouvez-vous faire sur les participes passés dans la colonne du passé composé ?</w:t>
      </w:r>
    </w:p>
    <w:p w:rsidR="00EA5887" w:rsidRDefault="00EA5887" w:rsidP="00EA5887"/>
    <w:p w:rsidR="00EA5887" w:rsidRDefault="00EA5887" w:rsidP="00EA5887">
      <w:r>
        <w:sym w:font="Wingdings" w:char="F0E0"/>
      </w:r>
      <w:r>
        <w:t xml:space="preserve"> Constater que dans certains cas, le participe passé semble s’accorder en genre et en nombre avec le pronom personnel.</w:t>
      </w:r>
    </w:p>
    <w:p w:rsidR="00EA5887" w:rsidRDefault="00EA5887" w:rsidP="00EA5887">
      <w:r>
        <w:sym w:font="Wingdings" w:char="F0E0"/>
      </w:r>
      <w:r>
        <w:t xml:space="preserve"> Pousser l’analyse pour noter que c’est le cas lorsque le participe passé suit l’auxiliaire être. En revanche, les participes passés qui suivent l’auxi</w:t>
      </w:r>
      <w:r w:rsidR="0003440D">
        <w:t xml:space="preserve">liaire avoir </w:t>
      </w:r>
      <w:r>
        <w:t>restent invariables quelle que soit la personne.</w:t>
      </w:r>
    </w:p>
    <w:p w:rsidR="00EA5887" w:rsidRDefault="00EA5887" w:rsidP="00EA5887"/>
    <w:p w:rsidR="00BC76C2" w:rsidRPr="00EA5887" w:rsidRDefault="00EA5887">
      <w:pPr>
        <w:rPr>
          <w:b/>
        </w:rPr>
      </w:pPr>
      <w:r w:rsidRPr="00EA5887">
        <w:rPr>
          <w:b/>
        </w:rPr>
        <w:t>2/ Observer l’accord du PP avec l’auxiliaire être dans des phrases.</w:t>
      </w:r>
    </w:p>
    <w:p w:rsidR="00EA5887" w:rsidRDefault="00EA5887"/>
    <w:p w:rsidR="00EA5887" w:rsidRPr="00EA5887" w:rsidRDefault="00EA5887">
      <w:pPr>
        <w:rPr>
          <w:u w:val="single"/>
        </w:rPr>
      </w:pPr>
      <w:r w:rsidRPr="00EA5887">
        <w:rPr>
          <w:u w:val="single"/>
        </w:rPr>
        <w:t>Objectif :</w:t>
      </w:r>
    </w:p>
    <w:p w:rsidR="00EA5887" w:rsidRDefault="00EA5887" w:rsidP="00EA5887">
      <w:pPr>
        <w:ind w:left="567"/>
      </w:pPr>
      <w:r>
        <w:t>Confirmer les remarques faites précédemment, en vérifiant qu’elles restent vraies dans le cadre d’une phrase.</w:t>
      </w:r>
    </w:p>
    <w:p w:rsidR="00EA5887" w:rsidRDefault="00EA5887" w:rsidP="00EA5887">
      <w:pPr>
        <w:ind w:left="567"/>
      </w:pPr>
    </w:p>
    <w:p w:rsidR="00EA5887" w:rsidRPr="00EA5887" w:rsidRDefault="00EA5887" w:rsidP="00EA5887">
      <w:pPr>
        <w:rPr>
          <w:u w:val="single"/>
        </w:rPr>
      </w:pPr>
      <w:r w:rsidRPr="00EA5887">
        <w:rPr>
          <w:u w:val="single"/>
        </w:rPr>
        <w:t>Matériel :</w:t>
      </w:r>
    </w:p>
    <w:p w:rsidR="00EA5887" w:rsidRDefault="00EA5887" w:rsidP="00EA5887">
      <w:pPr>
        <w:ind w:left="567"/>
      </w:pPr>
      <w:r>
        <w:t>Corpus de phrases (1</w:t>
      </w:r>
      <w:r w:rsidRPr="00EA5887">
        <w:rPr>
          <w:vertAlign w:val="superscript"/>
        </w:rPr>
        <w:t>e</w:t>
      </w:r>
      <w:r>
        <w:t xml:space="preserve"> série : sujets sous la forme de pronoms personnels ; 2</w:t>
      </w:r>
      <w:r w:rsidRPr="00EA5887">
        <w:rPr>
          <w:vertAlign w:val="superscript"/>
        </w:rPr>
        <w:t>e</w:t>
      </w:r>
      <w:r>
        <w:t xml:space="preserve"> série : sujets GN).</w:t>
      </w:r>
    </w:p>
    <w:p w:rsidR="00EA5887" w:rsidRDefault="00EA5887" w:rsidP="00EA5887">
      <w:pPr>
        <w:ind w:left="567"/>
      </w:pPr>
    </w:p>
    <w:p w:rsidR="00EA5887" w:rsidRPr="00EA5887" w:rsidRDefault="00EA5887" w:rsidP="00EA5887">
      <w:pPr>
        <w:rPr>
          <w:u w:val="single"/>
        </w:rPr>
      </w:pPr>
      <w:r w:rsidRPr="00EA5887">
        <w:rPr>
          <w:u w:val="single"/>
        </w:rPr>
        <w:t>Consigne :</w:t>
      </w:r>
    </w:p>
    <w:p w:rsidR="00EA5887" w:rsidRPr="00EA5887" w:rsidRDefault="00EA5887" w:rsidP="00EA5887">
      <w:pPr>
        <w:ind w:left="567"/>
      </w:pPr>
      <w:r w:rsidRPr="00EA5887">
        <w:t>1</w:t>
      </w:r>
      <w:r w:rsidRPr="00EA5887">
        <w:rPr>
          <w:vertAlign w:val="superscript"/>
        </w:rPr>
        <w:t>e</w:t>
      </w:r>
      <w:r w:rsidRPr="00EA5887">
        <w:t xml:space="preserve"> série de phrase :</w:t>
      </w:r>
    </w:p>
    <w:p w:rsidR="00EA5887" w:rsidRDefault="00EA5887" w:rsidP="00EA5887">
      <w:pPr>
        <w:ind w:left="567"/>
        <w:rPr>
          <w:i/>
        </w:rPr>
      </w:pPr>
      <w:r w:rsidRPr="00EA5887">
        <w:rPr>
          <w:i/>
        </w:rPr>
        <w:t>Entoure les</w:t>
      </w:r>
      <w:r w:rsidR="007128D2">
        <w:rPr>
          <w:i/>
        </w:rPr>
        <w:t xml:space="preserve"> participes passés. Observe leur terminaison</w:t>
      </w:r>
      <w:r w:rsidRPr="00EA5887">
        <w:rPr>
          <w:i/>
        </w:rPr>
        <w:t>.</w:t>
      </w:r>
      <w:r w:rsidR="007128D2">
        <w:rPr>
          <w:i/>
        </w:rPr>
        <w:t xml:space="preserve"> </w:t>
      </w:r>
      <w:r w:rsidRPr="00EA5887">
        <w:rPr>
          <w:i/>
        </w:rPr>
        <w:t>Que constates-tu ?</w:t>
      </w:r>
    </w:p>
    <w:p w:rsidR="007128D2" w:rsidRPr="00EA5887" w:rsidRDefault="007128D2" w:rsidP="00EA5887">
      <w:pPr>
        <w:ind w:left="567"/>
        <w:rPr>
          <w:i/>
        </w:rPr>
      </w:pPr>
      <w:r>
        <w:rPr>
          <w:i/>
        </w:rPr>
        <w:t>Quel auxiliaire se trouve devant ces participes passés ?</w:t>
      </w:r>
    </w:p>
    <w:p w:rsidR="00EA5887" w:rsidRDefault="00EA5887" w:rsidP="00EA5887">
      <w:pPr>
        <w:ind w:left="567"/>
      </w:pPr>
    </w:p>
    <w:p w:rsidR="00EA5887" w:rsidRDefault="00EA5887" w:rsidP="00EA5887">
      <w:pPr>
        <w:ind w:left="567"/>
      </w:pPr>
      <w:r>
        <w:t>2</w:t>
      </w:r>
      <w:r w:rsidRPr="00EA5887">
        <w:rPr>
          <w:vertAlign w:val="superscript"/>
        </w:rPr>
        <w:t>e</w:t>
      </w:r>
      <w:r>
        <w:t xml:space="preserve"> série de phrases :</w:t>
      </w:r>
    </w:p>
    <w:p w:rsidR="00EA5887" w:rsidRPr="00EA5887" w:rsidRDefault="007128D2" w:rsidP="00EA5887">
      <w:pPr>
        <w:ind w:left="567"/>
        <w:rPr>
          <w:i/>
        </w:rPr>
      </w:pPr>
      <w:r w:rsidRPr="00EA5887">
        <w:rPr>
          <w:i/>
        </w:rPr>
        <w:t>Entoure les</w:t>
      </w:r>
      <w:r>
        <w:rPr>
          <w:i/>
        </w:rPr>
        <w:t xml:space="preserve"> participes passés. Observe leur terminaison</w:t>
      </w:r>
      <w:r w:rsidRPr="00EA5887">
        <w:rPr>
          <w:i/>
        </w:rPr>
        <w:t>.</w:t>
      </w:r>
      <w:r>
        <w:rPr>
          <w:i/>
        </w:rPr>
        <w:t xml:space="preserve"> </w:t>
      </w:r>
      <w:r w:rsidR="00EA5887" w:rsidRPr="00EA5887">
        <w:rPr>
          <w:i/>
        </w:rPr>
        <w:t>Que constates-tu ?</w:t>
      </w:r>
    </w:p>
    <w:p w:rsidR="007128D2" w:rsidRPr="00EA5887" w:rsidRDefault="007128D2" w:rsidP="007128D2">
      <w:pPr>
        <w:ind w:left="567"/>
        <w:rPr>
          <w:i/>
        </w:rPr>
      </w:pPr>
      <w:r>
        <w:rPr>
          <w:i/>
        </w:rPr>
        <w:t>Quel auxiliaire se trouve devant ces participes passés ?</w:t>
      </w:r>
    </w:p>
    <w:p w:rsidR="00EA5887" w:rsidRDefault="00EA5887" w:rsidP="00EA5887">
      <w:pPr>
        <w:ind w:left="567"/>
      </w:pPr>
    </w:p>
    <w:p w:rsidR="00EA5887" w:rsidRPr="00EA5887" w:rsidRDefault="0003440D" w:rsidP="00EA5887">
      <w:pPr>
        <w:rPr>
          <w:b/>
        </w:rPr>
      </w:pPr>
      <w:r>
        <w:rPr>
          <w:b/>
        </w:rPr>
        <w:t>3</w:t>
      </w:r>
      <w:r w:rsidR="00EA5887" w:rsidRPr="00EA5887">
        <w:rPr>
          <w:b/>
        </w:rPr>
        <w:t xml:space="preserve">/ </w:t>
      </w:r>
      <w:r w:rsidR="00EA5887">
        <w:rPr>
          <w:b/>
        </w:rPr>
        <w:t>Synthèse</w:t>
      </w:r>
    </w:p>
    <w:p w:rsidR="00EA5887" w:rsidRDefault="00EA5887" w:rsidP="00EA5887">
      <w:pPr>
        <w:ind w:left="567"/>
      </w:pPr>
    </w:p>
    <w:p w:rsidR="00EA5887" w:rsidRDefault="00EA5887" w:rsidP="00EA5887">
      <w:pPr>
        <w:ind w:left="567"/>
      </w:pPr>
      <w:r>
        <w:t xml:space="preserve">Le participe passé </w:t>
      </w:r>
      <w:r w:rsidR="0003440D">
        <w:t>conjugué avec l’auxiliaire être s’accorde en genre et en nombre avec le sujet du verbe.</w:t>
      </w:r>
    </w:p>
    <w:p w:rsidR="0003440D" w:rsidRDefault="0003440D" w:rsidP="00EA5887">
      <w:pPr>
        <w:ind w:left="567"/>
      </w:pPr>
    </w:p>
    <w:p w:rsidR="0003440D" w:rsidRPr="00EA5887" w:rsidRDefault="0003440D" w:rsidP="0003440D">
      <w:pPr>
        <w:rPr>
          <w:b/>
        </w:rPr>
      </w:pPr>
      <w:r>
        <w:rPr>
          <w:b/>
        </w:rPr>
        <w:t>4</w:t>
      </w:r>
      <w:r w:rsidRPr="00EA5887">
        <w:rPr>
          <w:b/>
        </w:rPr>
        <w:t xml:space="preserve">/ </w:t>
      </w:r>
      <w:r>
        <w:rPr>
          <w:b/>
        </w:rPr>
        <w:t>Exercices d’application</w:t>
      </w:r>
    </w:p>
    <w:p w:rsidR="0003440D" w:rsidRDefault="0003440D" w:rsidP="00EA5887">
      <w:pPr>
        <w:ind w:left="567"/>
      </w:pPr>
    </w:p>
    <w:p w:rsidR="0003440D" w:rsidRPr="0003440D" w:rsidRDefault="0003440D" w:rsidP="000576AA">
      <w:pPr>
        <w:ind w:left="567"/>
        <w:rPr>
          <w:i/>
        </w:rPr>
      </w:pPr>
      <w:r w:rsidRPr="0003440D">
        <w:rPr>
          <w:i/>
        </w:rPr>
        <w:t>Belin ex. 1, 3 et 4 p. 149</w:t>
      </w:r>
      <w:bookmarkStart w:id="0" w:name="_GoBack"/>
      <w:bookmarkEnd w:id="0"/>
    </w:p>
    <w:sectPr w:rsidR="0003440D" w:rsidRPr="0003440D" w:rsidSect="00EA5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70" w:rsidRDefault="00847A70" w:rsidP="00323031">
      <w:r>
        <w:separator/>
      </w:r>
    </w:p>
  </w:endnote>
  <w:endnote w:type="continuationSeparator" w:id="0">
    <w:p w:rsidR="00847A70" w:rsidRDefault="00847A70" w:rsidP="0032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31" w:rsidRDefault="003230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31" w:rsidRDefault="003230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31" w:rsidRDefault="003230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70" w:rsidRDefault="00847A70" w:rsidP="00323031">
      <w:r>
        <w:separator/>
      </w:r>
    </w:p>
  </w:footnote>
  <w:footnote w:type="continuationSeparator" w:id="0">
    <w:p w:rsidR="00847A70" w:rsidRDefault="00847A70" w:rsidP="0032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31" w:rsidRDefault="0032303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31" w:rsidRDefault="0032303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31" w:rsidRDefault="003230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7"/>
    <w:rsid w:val="0003422B"/>
    <w:rsid w:val="0003440D"/>
    <w:rsid w:val="000576AA"/>
    <w:rsid w:val="001F0C68"/>
    <w:rsid w:val="002361A6"/>
    <w:rsid w:val="00263342"/>
    <w:rsid w:val="00323031"/>
    <w:rsid w:val="003D262D"/>
    <w:rsid w:val="004601C7"/>
    <w:rsid w:val="00555A1C"/>
    <w:rsid w:val="006E36C2"/>
    <w:rsid w:val="007128D2"/>
    <w:rsid w:val="007F011C"/>
    <w:rsid w:val="00846BFE"/>
    <w:rsid w:val="00847A70"/>
    <w:rsid w:val="008853AA"/>
    <w:rsid w:val="00892010"/>
    <w:rsid w:val="00BC76C2"/>
    <w:rsid w:val="00BE65CD"/>
    <w:rsid w:val="00E42B8E"/>
    <w:rsid w:val="00E919B7"/>
    <w:rsid w:val="00E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0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03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230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03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0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03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230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0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Bonté</dc:creator>
  <cp:lastModifiedBy>Virginie Bonté</cp:lastModifiedBy>
  <cp:revision>10</cp:revision>
  <cp:lastPrinted>2011-07-19T20:20:00Z</cp:lastPrinted>
  <dcterms:created xsi:type="dcterms:W3CDTF">2011-05-01T18:35:00Z</dcterms:created>
  <dcterms:modified xsi:type="dcterms:W3CDTF">2011-07-19T20:20:00Z</dcterms:modified>
</cp:coreProperties>
</file>